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B79" w:rsidRDefault="00C30EDC" w:rsidP="00DC3A75">
      <w:pPr>
        <w:rPr>
          <w:rFonts w:eastAsia="SimSun"/>
          <w:b/>
          <w:snapToGrid/>
          <w:lang w:val="fr-FR"/>
        </w:rPr>
        <w:sectPr w:rsidR="00647B79" w:rsidSect="00B75CC2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bookmarkStart w:id="0" w:name="_Toc369601107"/>
      <w:bookmarkStart w:id="1" w:name="_Toc369601229"/>
      <w:bookmarkStart w:id="2" w:name="_Toc369601251"/>
      <w:bookmarkStart w:id="3" w:name="_Toc369601273"/>
      <w:bookmarkStart w:id="4" w:name="_Toc369601295"/>
      <w:bookmarkStart w:id="5" w:name="_Toc369601317"/>
      <w:bookmarkStart w:id="6" w:name="_Toc369601339"/>
      <w:bookmarkStart w:id="7" w:name="_GoBack"/>
      <w:bookmarkEnd w:id="7"/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46395E26" wp14:editId="21DDA655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95E26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margin-left:-197.75pt;margin-top:445.9pt;width:432.3pt;height:30.1pt;rotation:-90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3wQIAAM8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BKKI/fBAgAAzwUAAA4AAAAAAAAAAAAAAAAALgIAAGRycy9lMm9Eb2MueG1sUEsBAi0AFAAGAAgA&#10;AAAhAOnXAtTdAAAACQ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295" distR="114295" simplePos="0" relativeHeight="252048384" behindDoc="0" locked="0" layoutInCell="1" allowOverlap="1" wp14:anchorId="4F42CC24" wp14:editId="509E62EF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8E922" id="Straight Connector 355" o:spid="_x0000_s1026" style="position:absolute;flip:y;z-index:252048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"/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295" distR="114295" simplePos="0" relativeHeight="252049408" behindDoc="0" locked="0" layoutInCell="1" allowOverlap="1" wp14:anchorId="67464D34" wp14:editId="0F0CB0B1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4" name="Straight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B4BC0" id="Straight Connector 354" o:spid="_x0000_s1026" style="position:absolute;z-index:25204940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"/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4E31FE2" wp14:editId="484B1A09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31FE2" id="Text Box 353" o:spid="_x0000_s1027" type="#_x0000_t202" style="position:absolute;margin-left:-90.1pt;margin-top:122.15pt;width:224pt;height:37.1pt;rotation:-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MUxgIAANY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D+7sxTGAgAA1g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432ABB5" wp14:editId="26F1E97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Pr="00460028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10, rue des Gaudines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Telephone: +33 1 34 51 70 01  Fax:  +33 1 34 51 82 05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e-mail:  </w:t>
                            </w:r>
                            <w:hyperlink r:id="rId10" w:history="1">
                              <w:r w:rsidRPr="00713387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1" w:history="1">
                              <w:r w:rsidRPr="00126198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2ABB5" id="Text Box 352" o:spid="_x0000_s1028" type="#_x0000_t202" style="position:absolute;margin-left:67.35pt;margin-top:585.35pt;width:361.25pt;height:69.6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A11IXFvgIAAMQ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8F6ACA" w:rsidRPr="00460028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</w:rPr>
                        <w:t>10, rue des Gaudines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2" w:history="1">
                        <w:r w:rsidRPr="00713387">
                          <w:rPr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3" w:history="1">
                        <w:r w:rsidRPr="00126198">
                          <w:rPr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w:drawing>
          <wp:anchor distT="0" distB="0" distL="114300" distR="114300" simplePos="0" relativeHeight="252044288" behindDoc="0" locked="0" layoutInCell="1" allowOverlap="1" wp14:anchorId="2996423D" wp14:editId="0477E6FF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6E56708" wp14:editId="29AE5FB2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125F08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ENG</w:t>
                            </w:r>
                            <w:r w:rsidR="008F6ACA" w:rsidRPr="00356023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 Committee</w:t>
                            </w:r>
                          </w:p>
                          <w:p w:rsidR="006F3D80" w:rsidRPr="00356023" w:rsidRDefault="006F3D80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</w:p>
                          <w:p w:rsidR="004D41C5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W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orking </w:t>
                            </w: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G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roups</w:t>
                            </w:r>
                          </w:p>
                          <w:p w:rsidR="008F6ACA" w:rsidRDefault="004D41C5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4D41C5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Terms of Reference</w:t>
                            </w:r>
                            <w:r w:rsidR="008F6ACA" w:rsidRPr="00356023"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(2014-18)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17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5F08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November</w:t>
                            </w:r>
                            <w:r w:rsidRPr="00D222EB">
                              <w:rPr>
                                <w:rFonts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2014</w:t>
                            </w: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D222EB" w:rsidRPr="00356023" w:rsidRDefault="00D222EB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56708" id="Text Box 351" o:spid="_x0000_s1029" type="#_x0000_t202" style="position:absolute;margin-left:84pt;margin-top:39.1pt;width:4in;height:258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HsJOd29AgAAxQ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125F08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ENG</w:t>
                      </w:r>
                      <w:r w:rsidR="008F6ACA" w:rsidRPr="00356023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 Committee</w:t>
                      </w:r>
                    </w:p>
                    <w:p w:rsidR="006F3D80" w:rsidRPr="00356023" w:rsidRDefault="006F3D80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</w:p>
                    <w:p w:rsidR="004D41C5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W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orking </w:t>
                      </w: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G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roups</w:t>
                      </w:r>
                    </w:p>
                    <w:p w:rsidR="008F6ACA" w:rsidRDefault="004D41C5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  <w:r w:rsidRPr="004D41C5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Terms of Reference</w:t>
                      </w:r>
                      <w:r w:rsidR="008F6ACA" w:rsidRPr="00356023"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356023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(2014-18)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>17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125F08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>November</w:t>
                      </w:r>
                      <w:r w:rsidRPr="00D222EB">
                        <w:rPr>
                          <w:rFonts w:cs="Arial"/>
                          <w:b/>
                          <w:color w:val="000000"/>
                          <w:sz w:val="28"/>
                          <w:szCs w:val="28"/>
                        </w:rPr>
                        <w:t xml:space="preserve"> 2014</w:t>
                      </w: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D222EB" w:rsidRPr="00356023" w:rsidRDefault="00D222EB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8" w:name="_Toc367195541"/>
    </w:p>
    <w:p w:rsidR="00C30EDC" w:rsidRPr="00647B79" w:rsidRDefault="00C30EDC" w:rsidP="00647B79">
      <w:pPr>
        <w:pStyle w:val="Heading1"/>
        <w:numPr>
          <w:ilvl w:val="0"/>
          <w:numId w:val="0"/>
        </w:numPr>
        <w:ind w:left="360"/>
        <w:rPr>
          <w:rFonts w:eastAsia="SimSun"/>
          <w:b/>
          <w:snapToGrid/>
          <w:lang w:val="fr-FR"/>
        </w:rPr>
      </w:pPr>
      <w:bookmarkStart w:id="9" w:name="_Toc401677529"/>
      <w:r w:rsidRPr="00647B79">
        <w:rPr>
          <w:rFonts w:eastAsia="SimSun"/>
          <w:b/>
          <w:snapToGrid/>
          <w:lang w:val="fr-FR"/>
        </w:rPr>
        <w:lastRenderedPageBreak/>
        <w:t>Document Revision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bookmarkEnd w:id="9"/>
    </w:p>
    <w:p w:rsidR="00C30EDC" w:rsidRDefault="00C30EDC" w:rsidP="00C30EDC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:rsidR="00C30EDC" w:rsidRDefault="00C30EDC" w:rsidP="00C30EDC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91050F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125F08">
            <w:r>
              <w:t>17</w:t>
            </w:r>
            <w:r w:rsidR="00610625">
              <w:t xml:space="preserve"> </w:t>
            </w:r>
            <w:r w:rsidR="00125F08">
              <w:t>Nov</w:t>
            </w:r>
            <w:r w:rsidR="00610625">
              <w:t xml:space="preserve"> 2014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7E72F8">
            <w: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D222EB" w:rsidP="00D222EB">
            <w:r>
              <w:t>Prepared at</w:t>
            </w:r>
            <w:r w:rsidR="00610625">
              <w:t xml:space="preserve"> </w:t>
            </w:r>
            <w:r w:rsidR="00125F08">
              <w:t>ENG1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</w:tbl>
    <w:p w:rsidR="00C30EDC" w:rsidRDefault="00C30EDC" w:rsidP="00C30EDC"/>
    <w:p w:rsidR="0056530D" w:rsidRPr="006F3D80" w:rsidRDefault="0056530D" w:rsidP="00DC3A75">
      <w:pPr>
        <w:pStyle w:val="Heading1"/>
        <w:numPr>
          <w:ilvl w:val="0"/>
          <w:numId w:val="0"/>
        </w:numPr>
      </w:pPr>
      <w:bookmarkStart w:id="10" w:name="_Toc401677530"/>
      <w:r w:rsidRPr="006F3D80">
        <w:t>Purpose of this Document</w:t>
      </w:r>
      <w:bookmarkEnd w:id="10"/>
    </w:p>
    <w:p w:rsidR="00FC5E14" w:rsidRDefault="0056530D" w:rsidP="006F3D80">
      <w:r>
        <w:t>The purpose of this document is to m</w:t>
      </w:r>
      <w:r w:rsidRPr="0056530D">
        <w:t>aintain</w:t>
      </w:r>
      <w:r w:rsidR="00125F08">
        <w:t xml:space="preserve"> a register of ENG</w:t>
      </w:r>
      <w:r>
        <w:t xml:space="preserve"> </w:t>
      </w:r>
      <w:r w:rsidR="006F3D80">
        <w:t>Working Groups Terms of Reference for 2014</w:t>
      </w:r>
      <w:r w:rsidR="00125F08">
        <w:t xml:space="preserve"> </w:t>
      </w:r>
      <w:r w:rsidR="006F3D80">
        <w:t>-</w:t>
      </w:r>
      <w:r w:rsidR="00125F08">
        <w:t xml:space="preserve"> 20</w:t>
      </w:r>
      <w:r w:rsidR="006F3D80">
        <w:t>18.</w:t>
      </w:r>
    </w:p>
    <w:p w:rsidR="00FC5E14" w:rsidRDefault="00FC5E14" w:rsidP="0056530D"/>
    <w:p w:rsidR="0056530D" w:rsidRPr="0056530D" w:rsidRDefault="0056530D" w:rsidP="0056530D"/>
    <w:p w:rsidR="00C30EDC" w:rsidRPr="00DC3A75" w:rsidRDefault="00C30EDC" w:rsidP="00C30EDC">
      <w:pPr>
        <w:jc w:val="center"/>
        <w:rPr>
          <w:b/>
          <w:sz w:val="28"/>
          <w:szCs w:val="28"/>
        </w:rPr>
      </w:pPr>
      <w:r w:rsidRPr="0091050F">
        <w:rPr>
          <w:b/>
        </w:rPr>
        <w:br w:type="page"/>
      </w:r>
      <w:bookmarkStart w:id="11" w:name="_Toc367195542"/>
      <w:r w:rsidRPr="00DC3A75">
        <w:rPr>
          <w:b/>
          <w:sz w:val="28"/>
          <w:szCs w:val="28"/>
        </w:rPr>
        <w:lastRenderedPageBreak/>
        <w:t>Table of Contents</w:t>
      </w:r>
      <w:bookmarkEnd w:id="11"/>
      <w:r w:rsidRPr="00DC3A75">
        <w:rPr>
          <w:b/>
          <w:sz w:val="28"/>
          <w:szCs w:val="28"/>
        </w:rPr>
        <w:t xml:space="preserve"> </w:t>
      </w:r>
    </w:p>
    <w:p w:rsidR="00C30EDC" w:rsidRPr="005101A3" w:rsidRDefault="00C30EDC" w:rsidP="00C30EDC"/>
    <w:p w:rsidR="00E3082A" w:rsidRDefault="00C30EDC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1677529" w:history="1">
        <w:r w:rsidR="00E3082A" w:rsidRPr="00212A58">
          <w:rPr>
            <w:rStyle w:val="Hyperlink"/>
            <w:rFonts w:eastAsia="SimSun"/>
            <w:noProof/>
            <w:lang w:val="fr-FR"/>
          </w:rPr>
          <w:t>Document Revision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_Toc401677529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1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B06C12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0" w:history="1">
        <w:r w:rsidR="00E3082A" w:rsidRPr="00212A58">
          <w:rPr>
            <w:rStyle w:val="Hyperlink"/>
            <w:noProof/>
          </w:rPr>
          <w:t>Purpose of this Document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_Toc401677530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1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B06C12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1" w:history="1">
        <w:r w:rsidR="00E3082A" w:rsidRPr="00212A58">
          <w:rPr>
            <w:rStyle w:val="Hyperlink"/>
            <w:noProof/>
          </w:rPr>
          <w:t>1.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Introduction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_Toc401677531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3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B06C12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2" w:history="1">
        <w:r w:rsidR="00E3082A" w:rsidRPr="00212A58">
          <w:rPr>
            <w:rStyle w:val="Hyperlink"/>
            <w:noProof/>
          </w:rPr>
          <w:t>2.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Terms of Reference for the ENG Light &amp; Vision Physics Working Group (WG1)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_Toc401677532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3</w:t>
        </w:r>
        <w:r w:rsidR="00E3082A">
          <w:rPr>
            <w:noProof/>
            <w:webHidden/>
          </w:rPr>
          <w:fldChar w:fldCharType="end"/>
        </w:r>
      </w:hyperlink>
    </w:p>
    <w:p w:rsidR="00E3082A" w:rsidRDefault="00B06C12" w:rsidP="007B152D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val="en-IE" w:eastAsia="en-IE"/>
        </w:rPr>
      </w:pPr>
      <w:hyperlink w:anchor="_Toc401677533" w:history="1">
        <w:r w:rsidR="00E3082A" w:rsidRPr="00212A58">
          <w:rPr>
            <w:rStyle w:val="Hyperlink"/>
            <w:noProof/>
          </w:rPr>
          <w:t>3.</w:t>
        </w:r>
        <w:r w:rsidR="00E3082A">
          <w:rPr>
            <w:rFonts w:asciiTheme="minorHAnsi" w:eastAsiaTheme="minorEastAsia" w:hAnsiTheme="minorHAnsi" w:cstheme="minorBidi"/>
            <w:noProof/>
            <w:snapToGrid/>
            <w:sz w:val="22"/>
            <w:szCs w:val="22"/>
            <w:lang w:val="en-IE" w:eastAsia="en-IE"/>
          </w:rPr>
          <w:tab/>
        </w:r>
        <w:r w:rsidR="00E3082A" w:rsidRPr="00212A58">
          <w:rPr>
            <w:rStyle w:val="Hyperlink"/>
            <w:noProof/>
          </w:rPr>
          <w:t>Terms of Reference for the ENG Knowledge and Sustainability Working Group (WG2)</w:t>
        </w:r>
        <w:r w:rsidR="00E3082A">
          <w:rPr>
            <w:noProof/>
            <w:webHidden/>
          </w:rPr>
          <w:tab/>
        </w:r>
        <w:r w:rsidR="00E3082A">
          <w:rPr>
            <w:noProof/>
            <w:webHidden/>
          </w:rPr>
          <w:fldChar w:fldCharType="begin"/>
        </w:r>
        <w:r w:rsidR="00E3082A">
          <w:rPr>
            <w:noProof/>
            <w:webHidden/>
          </w:rPr>
          <w:instrText xml:space="preserve"> PAGEREF _Toc401677533 \h </w:instrText>
        </w:r>
        <w:r w:rsidR="00E3082A">
          <w:rPr>
            <w:noProof/>
            <w:webHidden/>
          </w:rPr>
        </w:r>
        <w:r w:rsidR="00E3082A">
          <w:rPr>
            <w:noProof/>
            <w:webHidden/>
          </w:rPr>
          <w:fldChar w:fldCharType="separate"/>
        </w:r>
        <w:r w:rsidR="00E3082A">
          <w:rPr>
            <w:noProof/>
            <w:webHidden/>
          </w:rPr>
          <w:t>4</w:t>
        </w:r>
        <w:r w:rsidR="00E3082A">
          <w:rPr>
            <w:noProof/>
            <w:webHidden/>
          </w:rPr>
          <w:fldChar w:fldCharType="end"/>
        </w:r>
      </w:hyperlink>
    </w:p>
    <w:p w:rsidR="00C30EDC" w:rsidRDefault="00C30EDC" w:rsidP="00C30EDC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30EDC" w:rsidRDefault="00C30EDC" w:rsidP="00C30EDC">
      <w:pPr>
        <w:rPr>
          <w:b/>
          <w:bCs/>
          <w:noProof/>
        </w:rPr>
      </w:pPr>
    </w:p>
    <w:p w:rsidR="00C30EDC" w:rsidRDefault="00C30EDC" w:rsidP="00C30EDC"/>
    <w:p w:rsidR="00BA0E98" w:rsidRDefault="00BA0E98">
      <w:pPr>
        <w:sectPr w:rsidR="00BA0E98" w:rsidSect="00B75CC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4C55AC" w:rsidRDefault="004C55AC" w:rsidP="00125F08">
      <w:pPr>
        <w:pStyle w:val="Heading1"/>
      </w:pPr>
      <w:bookmarkStart w:id="12" w:name="_Toc401677531"/>
      <w:r>
        <w:lastRenderedPageBreak/>
        <w:t>Introduction</w:t>
      </w:r>
      <w:bookmarkEnd w:id="12"/>
    </w:p>
    <w:p w:rsidR="004C55AC" w:rsidRPr="00125F08" w:rsidRDefault="004C55AC" w:rsidP="004C55AC">
      <w:pPr>
        <w:pStyle w:val="BodyText"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The </w:t>
      </w:r>
      <w:r w:rsidR="00E95863">
        <w:rPr>
          <w:rFonts w:ascii="Arial" w:hAnsi="Arial" w:cs="Arial"/>
        </w:rPr>
        <w:t xml:space="preserve">AtoN </w:t>
      </w:r>
      <w:r w:rsidRPr="00125F08">
        <w:rPr>
          <w:rFonts w:ascii="Arial" w:hAnsi="Arial" w:cs="Arial"/>
        </w:rPr>
        <w:t>Engineering &amp; Sustainability Committee (ENG) is structured into two Working Groups to deliver the 2014 – 2018 work plan. They are:</w:t>
      </w:r>
    </w:p>
    <w:p w:rsidR="004C55AC" w:rsidRDefault="004C55AC" w:rsidP="004C55AC">
      <w:pPr>
        <w:pStyle w:val="BodyText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WG1 – Light &amp; Vision Physics </w:t>
      </w:r>
    </w:p>
    <w:p w:rsidR="004C55AC" w:rsidRPr="00125F08" w:rsidRDefault="004C55AC" w:rsidP="004C55AC">
      <w:pPr>
        <w:pStyle w:val="BodyText"/>
        <w:numPr>
          <w:ilvl w:val="0"/>
          <w:numId w:val="26"/>
        </w:numPr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WG2 - Knowledge and Sustainability.</w:t>
      </w:r>
    </w:p>
    <w:p w:rsidR="004C55AC" w:rsidRDefault="004C55AC" w:rsidP="004C55AC">
      <w:pPr>
        <w:pStyle w:val="BodyText"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ENG also supervises the Heritage Forum and recognises that some delegates will have an interest and input in more than one of the above areas.</w:t>
      </w:r>
    </w:p>
    <w:p w:rsidR="004C55AC" w:rsidRDefault="004C55AC" w:rsidP="004C55AC">
      <w:pPr>
        <w:pStyle w:val="BodyText"/>
        <w:jc w:val="both"/>
        <w:rPr>
          <w:rFonts w:ascii="Arial" w:hAnsi="Arial" w:cs="Arial"/>
        </w:rPr>
      </w:pPr>
    </w:p>
    <w:p w:rsidR="001D53B2" w:rsidRPr="0034183B" w:rsidRDefault="001D53B2" w:rsidP="00125F08">
      <w:pPr>
        <w:pStyle w:val="Heading1"/>
      </w:pPr>
      <w:bookmarkStart w:id="13" w:name="_Toc401677532"/>
      <w:r>
        <w:t xml:space="preserve">Terms of Reference for the </w:t>
      </w:r>
      <w:r w:rsidR="00125F08">
        <w:t xml:space="preserve">ENG </w:t>
      </w:r>
      <w:r w:rsidR="00125F08" w:rsidRPr="00125F08">
        <w:t>Light &amp; Vision Physics Working Group (WG1)</w:t>
      </w:r>
      <w:bookmarkEnd w:id="13"/>
    </w:p>
    <w:p w:rsidR="001D53B2" w:rsidRDefault="001D53B2" w:rsidP="001D53B2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1D53B2" w:rsidRDefault="001D53B2" w:rsidP="004C55AC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</w:t>
      </w:r>
    </w:p>
    <w:p w:rsidR="004C55AC" w:rsidRPr="004C55AC" w:rsidRDefault="004C55AC" w:rsidP="004C55AC">
      <w:pPr>
        <w:pStyle w:val="BodyText"/>
        <w:widowControl/>
        <w:tabs>
          <w:tab w:val="left" w:pos="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Visual AtoN </w:t>
      </w:r>
      <w:r w:rsidR="00C82BDB">
        <w:rPr>
          <w:rFonts w:ascii="Arial" w:hAnsi="Arial" w:cs="Arial"/>
        </w:rPr>
        <w:t>are an essential</w:t>
      </w:r>
      <w:r>
        <w:rPr>
          <w:rFonts w:ascii="Arial" w:hAnsi="Arial" w:cs="Arial"/>
        </w:rPr>
        <w:t xml:space="preserve"> element of safe and efficient maritime navigation. While the range of visual AtoN has reduced with the increasing use of electronic navigation systems, the need for short range AtoN,</w:t>
      </w:r>
      <w:r w:rsidR="00E95863">
        <w:rPr>
          <w:rFonts w:ascii="Arial" w:hAnsi="Arial" w:cs="Arial"/>
        </w:rPr>
        <w:t xml:space="preserve"> good </w:t>
      </w:r>
      <w:r w:rsidR="007B152D">
        <w:rPr>
          <w:rFonts w:ascii="Arial" w:hAnsi="Arial" w:cs="Arial"/>
        </w:rPr>
        <w:t>spatial</w:t>
      </w:r>
      <w:r w:rsidR="00E95863">
        <w:rPr>
          <w:rFonts w:ascii="Arial" w:hAnsi="Arial" w:cs="Arial"/>
        </w:rPr>
        <w:t xml:space="preserve"> awareness,</w:t>
      </w:r>
      <w:r>
        <w:rPr>
          <w:rFonts w:ascii="Arial" w:hAnsi="Arial" w:cs="Arial"/>
        </w:rPr>
        <w:t xml:space="preserve"> efficiency and cost effectiveness of </w:t>
      </w:r>
      <w:r w:rsidR="004137F0">
        <w:rPr>
          <w:rFonts w:ascii="Arial" w:hAnsi="Arial" w:cs="Arial"/>
        </w:rPr>
        <w:t xml:space="preserve">visual AtoN </w:t>
      </w:r>
      <w:r>
        <w:rPr>
          <w:rFonts w:ascii="Arial" w:hAnsi="Arial" w:cs="Arial"/>
        </w:rPr>
        <w:t>service provision has increased.</w:t>
      </w:r>
    </w:p>
    <w:p w:rsidR="004C55AC" w:rsidRDefault="004C55AC" w:rsidP="001D53B2">
      <w:pPr>
        <w:tabs>
          <w:tab w:val="left" w:pos="0"/>
        </w:tabs>
        <w:jc w:val="both"/>
        <w:rPr>
          <w:rFonts w:ascii="Arial" w:hAnsi="Arial" w:cs="Arial"/>
        </w:rPr>
      </w:pPr>
    </w:p>
    <w:p w:rsidR="001D53B2" w:rsidRDefault="001D53B2" w:rsidP="001D53B2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1D53B2" w:rsidRDefault="00125F08" w:rsidP="00125F08">
      <w:pPr>
        <w:pStyle w:val="BodyText"/>
        <w:widowControl/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The review, update and development of IALA documents and knowledge transfer that supports the ENG Committee Work Programme 2014 – 2018 and IALA strategy. The support of technical workshops</w:t>
      </w:r>
      <w:r w:rsidR="001D53B2">
        <w:rPr>
          <w:rFonts w:ascii="Arial" w:hAnsi="Arial" w:cs="Arial"/>
        </w:rPr>
        <w:t>.</w:t>
      </w:r>
    </w:p>
    <w:p w:rsidR="001D53B2" w:rsidRDefault="001D53B2" w:rsidP="001D53B2">
      <w:pPr>
        <w:pStyle w:val="BodyText"/>
        <w:rPr>
          <w:rFonts w:ascii="Arial" w:hAnsi="Arial" w:cs="Arial"/>
        </w:rPr>
      </w:pP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Visual perception</w:t>
      </w:r>
      <w:r w:rsidR="00E95863">
        <w:rPr>
          <w:rFonts w:ascii="Arial" w:hAnsi="Arial" w:cs="Arial"/>
        </w:rPr>
        <w:t xml:space="preserve"> &amp; Marine signalling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Range and Colour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Light and Vision Physics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Buoys</w:t>
      </w:r>
      <w:r w:rsidR="001C4F7D">
        <w:rPr>
          <w:rFonts w:ascii="Arial" w:hAnsi="Arial" w:cs="Arial"/>
        </w:rPr>
        <w:t xml:space="preserve"> visual aspects</w:t>
      </w:r>
      <w:r>
        <w:rPr>
          <w:rFonts w:ascii="Arial" w:hAnsi="Arial" w:cs="Arial"/>
        </w:rPr>
        <w:t>;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Beacons</w:t>
      </w:r>
      <w:r w:rsidR="00E95863">
        <w:rPr>
          <w:rFonts w:ascii="Arial" w:hAnsi="Arial" w:cs="Arial"/>
        </w:rPr>
        <w:t xml:space="preserve"> &amp; Day Marks</w:t>
      </w:r>
      <w:r>
        <w:rPr>
          <w:rFonts w:ascii="Arial" w:hAnsi="Arial" w:cs="Arial"/>
        </w:rPr>
        <w:t>;</w:t>
      </w:r>
      <w:r w:rsidR="00E95863">
        <w:rPr>
          <w:rFonts w:ascii="Arial" w:hAnsi="Arial" w:cs="Arial"/>
        </w:rPr>
        <w:t xml:space="preserve"> </w:t>
      </w:r>
    </w:p>
    <w:p w:rsidR="00125F08" w:rsidRPr="00125F08" w:rsidRDefault="001C4F7D" w:rsidP="001C4F7D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C4F7D">
        <w:rPr>
          <w:rFonts w:ascii="Arial" w:hAnsi="Arial" w:cs="Arial"/>
        </w:rPr>
        <w:t>S-100 registry support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Document review &amp; production</w:t>
      </w:r>
      <w:r>
        <w:rPr>
          <w:rFonts w:ascii="Arial" w:hAnsi="Arial" w:cs="Arial"/>
        </w:rPr>
        <w:t>;</w:t>
      </w:r>
    </w:p>
    <w:p w:rsidR="001D53B2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IALA Wiki development and use</w:t>
      </w:r>
      <w:r w:rsidR="001D53B2">
        <w:rPr>
          <w:rFonts w:ascii="Arial" w:hAnsi="Arial" w:cs="Arial"/>
        </w:rPr>
        <w:t>.</w:t>
      </w:r>
    </w:p>
    <w:p w:rsidR="00E95863" w:rsidRDefault="00E95863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and delivery of potential Standards</w:t>
      </w:r>
    </w:p>
    <w:p w:rsid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Navguide updates</w:t>
      </w:r>
    </w:p>
    <w:p w:rsidR="00E95863" w:rsidRP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Technical updates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1D53B2" w:rsidRDefault="001D53B2" w:rsidP="001D53B2">
      <w:pPr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Appropriate draft Standards, Recommendations, Guidelines, Model Courses and </w:t>
      </w:r>
      <w:r w:rsidR="00173687">
        <w:rPr>
          <w:rFonts w:ascii="Arial" w:hAnsi="Arial" w:cs="Arial"/>
        </w:rPr>
        <w:t>Manuals</w:t>
      </w:r>
      <w:r w:rsidRPr="00125F08">
        <w:rPr>
          <w:rFonts w:ascii="Arial" w:hAnsi="Arial" w:cs="Arial"/>
        </w:rPr>
        <w:t>, etc., to fulfil the tasks assigned to the Working Group in the Committee Work Programme;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Draft liaison notes etc. as appropri</w:t>
      </w:r>
      <w:r>
        <w:rPr>
          <w:rFonts w:ascii="Arial" w:hAnsi="Arial" w:cs="Arial"/>
        </w:rPr>
        <w:t>ate;</w:t>
      </w:r>
    </w:p>
    <w:p w:rsidR="001D53B2" w:rsidRDefault="00125F08" w:rsidP="00125F08">
      <w:pPr>
        <w:widowControl/>
        <w:numPr>
          <w:ilvl w:val="0"/>
          <w:numId w:val="20"/>
        </w:numPr>
        <w:suppressAutoHyphens/>
        <w:rPr>
          <w:rFonts w:ascii="Arial" w:hAnsi="Arial" w:cs="Arial"/>
        </w:rPr>
      </w:pPr>
      <w:r w:rsidRPr="00125F08">
        <w:rPr>
          <w:rFonts w:ascii="Arial" w:hAnsi="Arial" w:cs="Arial"/>
        </w:rPr>
        <w:t>Support for the technical workshops</w:t>
      </w:r>
      <w:r w:rsidR="001D53B2">
        <w:rPr>
          <w:rFonts w:ascii="Arial" w:hAnsi="Arial" w:cs="Arial"/>
        </w:rPr>
        <w:t xml:space="preserve">. </w:t>
      </w:r>
    </w:p>
    <w:p w:rsidR="001D53B2" w:rsidRDefault="001D53B2" w:rsidP="001D53B2">
      <w:pPr>
        <w:pStyle w:val="BodyText"/>
        <w:rPr>
          <w:rFonts w:ascii="Arial" w:hAnsi="Arial" w:cs="Arial"/>
        </w:rPr>
      </w:pPr>
    </w:p>
    <w:p w:rsidR="006F3D80" w:rsidRPr="006F3D80" w:rsidRDefault="006F3D80" w:rsidP="00125F08">
      <w:pPr>
        <w:pStyle w:val="Heading1"/>
      </w:pPr>
      <w:bookmarkStart w:id="14" w:name="_Toc401677533"/>
      <w:r w:rsidRPr="006F3D80">
        <w:lastRenderedPageBreak/>
        <w:t xml:space="preserve">Terms of Reference for the </w:t>
      </w:r>
      <w:r w:rsidR="00125F08">
        <w:t xml:space="preserve">ENG </w:t>
      </w:r>
      <w:r w:rsidR="00C82BDB">
        <w:t xml:space="preserve">Technical </w:t>
      </w:r>
      <w:r w:rsidR="00125F08" w:rsidRPr="00125F08">
        <w:t>Knowledge and Sustainability Working Group</w:t>
      </w:r>
      <w:r w:rsidRPr="006F3D80">
        <w:t xml:space="preserve"> (WG2)</w:t>
      </w:r>
      <w:bookmarkEnd w:id="14"/>
    </w:p>
    <w:p w:rsidR="006F3D80" w:rsidRDefault="006F3D80" w:rsidP="006F3D80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6F3D80" w:rsidRDefault="006F3D80" w:rsidP="004137F0">
      <w:pPr>
        <w:pStyle w:val="BodyText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</w:t>
      </w:r>
    </w:p>
    <w:p w:rsidR="004137F0" w:rsidRDefault="004137F0" w:rsidP="004137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Effective </w:t>
      </w:r>
      <w:r w:rsidR="00C82BDB">
        <w:rPr>
          <w:rFonts w:ascii="Arial" w:hAnsi="Arial" w:cs="Arial"/>
        </w:rPr>
        <w:t xml:space="preserve">technical </w:t>
      </w:r>
      <w:r>
        <w:rPr>
          <w:rFonts w:ascii="Arial" w:hAnsi="Arial" w:cs="Arial"/>
        </w:rPr>
        <w:t>management with attention to standards, quality control, information sharing and training are essential elements of AtoN service provision to support efficient and environmentally friendly marine navigation.</w:t>
      </w:r>
    </w:p>
    <w:p w:rsidR="004137F0" w:rsidRDefault="004137F0" w:rsidP="004137F0">
      <w:pPr>
        <w:jc w:val="both"/>
        <w:rPr>
          <w:rFonts w:ascii="Arial" w:hAnsi="Arial" w:cs="Arial"/>
        </w:rPr>
      </w:pPr>
    </w:p>
    <w:p w:rsidR="006F3D80" w:rsidRDefault="006F3D80" w:rsidP="006F3D80">
      <w:pPr>
        <w:pStyle w:val="BodyText"/>
        <w:rPr>
          <w:rFonts w:ascii="Arial" w:hAnsi="Arial" w:cs="Arial"/>
        </w:rPr>
      </w:pPr>
      <w:r w:rsidRPr="00672009">
        <w:rPr>
          <w:rFonts w:ascii="Arial" w:hAnsi="Arial" w:cs="Arial"/>
          <w:b/>
        </w:rPr>
        <w:t>Scope</w:t>
      </w:r>
    </w:p>
    <w:p w:rsidR="006F3D80" w:rsidRPr="006B1DE8" w:rsidRDefault="00125F08" w:rsidP="00D222EB">
      <w:pPr>
        <w:jc w:val="both"/>
        <w:rPr>
          <w:rFonts w:ascii="Arial" w:hAnsi="Arial" w:cs="Arial"/>
          <w:bCs/>
        </w:rPr>
      </w:pPr>
      <w:r w:rsidRPr="00125F08">
        <w:rPr>
          <w:rFonts w:ascii="Arial" w:hAnsi="Arial" w:cs="Arial"/>
          <w:bCs/>
          <w:lang w:val="en-US"/>
        </w:rPr>
        <w:t>The review, update and development of IALA documents and knowledge transfer that support the ENG Committee Work Programme 2014 – 2018 and IALA strategy. The support and delivery of technical workshops</w:t>
      </w:r>
      <w:r w:rsidR="006F3D80">
        <w:rPr>
          <w:rFonts w:ascii="Arial" w:hAnsi="Arial" w:cs="Arial"/>
          <w:bCs/>
          <w:lang w:val="en-US"/>
        </w:rPr>
        <w:t xml:space="preserve">. </w:t>
      </w:r>
    </w:p>
    <w:p w:rsidR="006F3D80" w:rsidRPr="00D50DAC" w:rsidRDefault="006F3D80" w:rsidP="006F3D80">
      <w:pPr>
        <w:pStyle w:val="BodyText"/>
        <w:rPr>
          <w:rFonts w:ascii="Arial" w:hAnsi="Arial" w:cs="Arial"/>
          <w:u w:val="single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Topics and a</w:t>
      </w:r>
      <w:r w:rsidRPr="00672009">
        <w:rPr>
          <w:rFonts w:ascii="Arial" w:hAnsi="Arial" w:cs="Arial"/>
          <w:b/>
        </w:rPr>
        <w:t>ctivities</w:t>
      </w:r>
      <w:r w:rsidRPr="00D50DAC">
        <w:rPr>
          <w:rFonts w:ascii="Arial" w:hAnsi="Arial" w:cs="Arial"/>
          <w:b/>
        </w:rPr>
        <w:tab/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Sustainability and Environmental responsibility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World Wide Academy </w:t>
      </w:r>
    </w:p>
    <w:p w:rsid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Technical workshops</w:t>
      </w:r>
    </w:p>
    <w:p w:rsidR="001C4F7D" w:rsidRPr="00125F08" w:rsidRDefault="001C4F7D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Buoys and beacons structural aspects and moorings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Civil Engineering &amp; structural maintenance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Maintenance and commissioning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Work in extreme environments</w:t>
      </w:r>
    </w:p>
    <w:p w:rsid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Power systems</w:t>
      </w:r>
    </w:p>
    <w:p w:rsidR="003A2D44" w:rsidRDefault="003A2D44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Remote </w:t>
      </w:r>
      <w:r w:rsidR="00FC212D">
        <w:rPr>
          <w:rFonts w:ascii="Arial" w:hAnsi="Arial" w:cs="Arial"/>
        </w:rPr>
        <w:t>c</w:t>
      </w:r>
      <w:r>
        <w:rPr>
          <w:rFonts w:ascii="Arial" w:hAnsi="Arial" w:cs="Arial"/>
        </w:rPr>
        <w:t>ontrol, monitoring and telematics</w:t>
      </w:r>
    </w:p>
    <w:p w:rsidR="00757F95" w:rsidRPr="00125F08" w:rsidRDefault="00757F95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Audible signals</w:t>
      </w:r>
    </w:p>
    <w:p w:rsidR="00125F08" w:rsidRPr="00125F08" w:rsidRDefault="00125F08" w:rsidP="00125F08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Document review &amp; production</w:t>
      </w:r>
    </w:p>
    <w:p w:rsidR="006F3D80" w:rsidRPr="007B152D" w:rsidRDefault="00125F08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 w:rsidRPr="00125F08">
        <w:rPr>
          <w:rFonts w:ascii="Arial" w:hAnsi="Arial" w:cs="Arial"/>
        </w:rPr>
        <w:t>IALA Wiki development and use</w:t>
      </w:r>
      <w:r w:rsidR="008A10BA" w:rsidRPr="00125F08">
        <w:rPr>
          <w:rFonts w:ascii="Arial" w:hAnsi="Arial" w:cs="Arial"/>
        </w:rPr>
        <w:t>.</w:t>
      </w:r>
    </w:p>
    <w:p w:rsidR="00E95863" w:rsidRDefault="00E95863" w:rsidP="00E95863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and delivery of potential Standards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Commissioning &amp; Audit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E-Navigation implementation</w:t>
      </w:r>
    </w:p>
    <w:p w:rsidR="00E95863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Health &amp; Safety</w:t>
      </w:r>
    </w:p>
    <w:p w:rsidR="00E95863" w:rsidRPr="00125F08" w:rsidRDefault="00E95863" w:rsidP="00D222EB">
      <w:pPr>
        <w:widowControl/>
        <w:numPr>
          <w:ilvl w:val="0"/>
          <w:numId w:val="21"/>
        </w:numPr>
        <w:suppressAutoHyphens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Technical updates</w:t>
      </w:r>
    </w:p>
    <w:p w:rsidR="006F3D80" w:rsidRDefault="006F3D80" w:rsidP="001D53B2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</w:rPr>
        <w:t>Deliverables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Appropriate draft Standards, Recommendations, Guidelines, </w:t>
      </w:r>
      <w:r w:rsidR="000F0F99">
        <w:rPr>
          <w:rFonts w:ascii="Arial" w:hAnsi="Arial" w:cs="Arial"/>
        </w:rPr>
        <w:t xml:space="preserve">Manuals, </w:t>
      </w:r>
      <w:r w:rsidRPr="00125F08">
        <w:rPr>
          <w:rFonts w:ascii="Arial" w:hAnsi="Arial" w:cs="Arial"/>
        </w:rPr>
        <w:t>Model Courses and Product Specifications, etc., to fulfil the tasks assigned to the Working Group in the Committee Work Programme;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Information and relevant subtasks requested from other Working Groups within the Committee for them to fulfil their tasks;</w:t>
      </w:r>
    </w:p>
    <w:p w:rsidR="00125F08" w:rsidRPr="00125F08" w:rsidRDefault="00125F08" w:rsidP="00125F08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 xml:space="preserve">Draft liaison notes etc. as appropriate. </w:t>
      </w:r>
    </w:p>
    <w:p w:rsidR="006F3D80" w:rsidRPr="00125F08" w:rsidRDefault="00125F08" w:rsidP="00D222EB">
      <w:pPr>
        <w:widowControl/>
        <w:numPr>
          <w:ilvl w:val="0"/>
          <w:numId w:val="20"/>
        </w:numPr>
        <w:suppressAutoHyphens/>
        <w:jc w:val="both"/>
        <w:rPr>
          <w:rFonts w:ascii="Arial" w:hAnsi="Arial" w:cs="Arial"/>
        </w:rPr>
      </w:pPr>
      <w:r w:rsidRPr="00125F08">
        <w:rPr>
          <w:rFonts w:ascii="Arial" w:hAnsi="Arial" w:cs="Arial"/>
        </w:rPr>
        <w:t>Technical workshop(s) as detailed in the Committee Work Programme</w:t>
      </w:r>
      <w:r w:rsidR="006F3D80" w:rsidRPr="00125F08">
        <w:rPr>
          <w:rFonts w:ascii="Arial" w:hAnsi="Arial" w:cs="Arial"/>
        </w:rPr>
        <w:t xml:space="preserve">. </w:t>
      </w:r>
    </w:p>
    <w:p w:rsidR="006F3D80" w:rsidRPr="00B84A37" w:rsidRDefault="006F3D80" w:rsidP="006F3D80">
      <w:pPr>
        <w:rPr>
          <w:rFonts w:ascii="Arial" w:hAnsi="Arial" w:cs="Arial"/>
          <w:bCs/>
          <w:lang w:val="en-US"/>
        </w:rPr>
      </w:pP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Default="00647B79" w:rsidP="00647B79">
      <w:pPr>
        <w:rPr>
          <w:rFonts w:ascii="Arial" w:hAnsi="Arial" w:cs="Arial"/>
          <w:bCs/>
        </w:rPr>
      </w:pPr>
    </w:p>
    <w:p w:rsidR="00647B79" w:rsidRPr="001F14AE" w:rsidRDefault="00647B79" w:rsidP="00647B79">
      <w:pPr>
        <w:rPr>
          <w:rFonts w:ascii="Arial" w:hAnsi="Arial" w:cs="Arial"/>
          <w:bCs/>
        </w:rPr>
      </w:pPr>
    </w:p>
    <w:p w:rsidR="00360BB7" w:rsidRDefault="00360BB7" w:rsidP="006F3D80"/>
    <w:sectPr w:rsidR="00360BB7">
      <w:headerReference w:type="default" r:id="rId15"/>
      <w:pgSz w:w="11906" w:h="16838"/>
      <w:pgMar w:top="1417" w:right="1417" w:bottom="1134" w:left="1417" w:header="709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C12" w:rsidRDefault="00B06C12" w:rsidP="00427C35">
      <w:r>
        <w:separator/>
      </w:r>
    </w:p>
  </w:endnote>
  <w:endnote w:type="continuationSeparator" w:id="0">
    <w:p w:rsidR="00B06C12" w:rsidRDefault="00B06C12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31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ACA" w:rsidRDefault="008F6ACA" w:rsidP="00427C35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A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6ACA" w:rsidRDefault="008F6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C12" w:rsidRDefault="00B06C12" w:rsidP="00427C35">
      <w:r>
        <w:separator/>
      </w:r>
    </w:p>
  </w:footnote>
  <w:footnote w:type="continuationSeparator" w:id="0">
    <w:p w:rsidR="00B06C12" w:rsidRDefault="00B06C12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42" w:rsidRDefault="00B41A42" w:rsidP="002D39C4">
    <w:pPr>
      <w:pStyle w:val="Header"/>
      <w:jc w:val="right"/>
      <w:rPr>
        <w:lang w:val="en-US"/>
      </w:rPr>
    </w:pPr>
    <w:r>
      <w:rPr>
        <w:lang w:val="en-US"/>
      </w:rPr>
      <w:t>ENG2-8.1</w:t>
    </w:r>
  </w:p>
  <w:p w:rsidR="000F0F99" w:rsidRDefault="00B41A42" w:rsidP="002D39C4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0F0F99">
      <w:rPr>
        <w:lang w:val="en-US"/>
      </w:rPr>
      <w:t>ENG1-11.1.2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80" w:rsidRDefault="00125F08" w:rsidP="002D39C4">
    <w:pPr>
      <w:pStyle w:val="Header"/>
    </w:pPr>
    <w:r>
      <w:t>ENG</w:t>
    </w:r>
    <w:r w:rsidR="002D39C4" w:rsidRPr="002D39C4">
      <w:t xml:space="preserve"> Committee WG Terms of Reference</w:t>
    </w:r>
    <w:r w:rsidR="002D39C4">
      <w:tab/>
    </w:r>
    <w:r w:rsidR="002D39C4">
      <w:tab/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A5E"/>
    <w:multiLevelType w:val="hybridMultilevel"/>
    <w:tmpl w:val="7BF610C4"/>
    <w:lvl w:ilvl="0" w:tplc="8AD80A72">
      <w:start w:val="1"/>
      <w:numFmt w:val="decimal"/>
      <w:pStyle w:val="Heading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81A82"/>
    <w:multiLevelType w:val="hybridMultilevel"/>
    <w:tmpl w:val="2D50D9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34544"/>
    <w:multiLevelType w:val="hybridMultilevel"/>
    <w:tmpl w:val="F9EC54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53C93"/>
    <w:multiLevelType w:val="hybridMultilevel"/>
    <w:tmpl w:val="1AE05D3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B2443"/>
    <w:multiLevelType w:val="hybridMultilevel"/>
    <w:tmpl w:val="93B03A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22"/>
  </w:num>
  <w:num w:numId="5">
    <w:abstractNumId w:val="2"/>
  </w:num>
  <w:num w:numId="6">
    <w:abstractNumId w:val="11"/>
  </w:num>
  <w:num w:numId="7">
    <w:abstractNumId w:val="8"/>
  </w:num>
  <w:num w:numId="8">
    <w:abstractNumId w:val="19"/>
  </w:num>
  <w:num w:numId="9">
    <w:abstractNumId w:val="7"/>
  </w:num>
  <w:num w:numId="10">
    <w:abstractNumId w:val="12"/>
  </w:num>
  <w:num w:numId="11">
    <w:abstractNumId w:val="17"/>
  </w:num>
  <w:num w:numId="12">
    <w:abstractNumId w:val="18"/>
  </w:num>
  <w:num w:numId="13">
    <w:abstractNumId w:val="16"/>
  </w:num>
  <w:num w:numId="14">
    <w:abstractNumId w:val="21"/>
  </w:num>
  <w:num w:numId="15">
    <w:abstractNumId w:val="22"/>
  </w:num>
  <w:num w:numId="16">
    <w:abstractNumId w:val="20"/>
  </w:num>
  <w:num w:numId="17">
    <w:abstractNumId w:val="5"/>
  </w:num>
  <w:num w:numId="18">
    <w:abstractNumId w:val="13"/>
  </w:num>
  <w:num w:numId="19">
    <w:abstractNumId w:val="6"/>
  </w:num>
  <w:num w:numId="20">
    <w:abstractNumId w:val="9"/>
  </w:num>
  <w:num w:numId="21">
    <w:abstractNumId w:val="14"/>
  </w:num>
  <w:num w:numId="22">
    <w:abstractNumId w:val="0"/>
  </w:num>
  <w:num w:numId="23">
    <w:abstractNumId w:val="10"/>
  </w:num>
  <w:num w:numId="24">
    <w:abstractNumId w:val="14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19"/>
    <w:rsid w:val="0005207A"/>
    <w:rsid w:val="0005756E"/>
    <w:rsid w:val="00070188"/>
    <w:rsid w:val="00094AD1"/>
    <w:rsid w:val="000B7193"/>
    <w:rsid w:val="000F0F99"/>
    <w:rsid w:val="000F13BB"/>
    <w:rsid w:val="000F1975"/>
    <w:rsid w:val="00125F08"/>
    <w:rsid w:val="00146D78"/>
    <w:rsid w:val="00151AE6"/>
    <w:rsid w:val="0015411C"/>
    <w:rsid w:val="00154C60"/>
    <w:rsid w:val="00155443"/>
    <w:rsid w:val="001635FF"/>
    <w:rsid w:val="00173687"/>
    <w:rsid w:val="001738EB"/>
    <w:rsid w:val="00193B27"/>
    <w:rsid w:val="001C4F7D"/>
    <w:rsid w:val="001D53B2"/>
    <w:rsid w:val="001F41C6"/>
    <w:rsid w:val="00266C4E"/>
    <w:rsid w:val="0029575D"/>
    <w:rsid w:val="002A4551"/>
    <w:rsid w:val="002B361E"/>
    <w:rsid w:val="002B5A4A"/>
    <w:rsid w:val="002C3CAE"/>
    <w:rsid w:val="002D0EC5"/>
    <w:rsid w:val="002D39C4"/>
    <w:rsid w:val="002D54FB"/>
    <w:rsid w:val="002F4366"/>
    <w:rsid w:val="002F7075"/>
    <w:rsid w:val="00306021"/>
    <w:rsid w:val="00315C95"/>
    <w:rsid w:val="00327C94"/>
    <w:rsid w:val="00341A16"/>
    <w:rsid w:val="00360297"/>
    <w:rsid w:val="00360BB7"/>
    <w:rsid w:val="003A2D44"/>
    <w:rsid w:val="003B47A9"/>
    <w:rsid w:val="003B4E13"/>
    <w:rsid w:val="004137F0"/>
    <w:rsid w:val="00427C35"/>
    <w:rsid w:val="004302F4"/>
    <w:rsid w:val="00444D49"/>
    <w:rsid w:val="004507C0"/>
    <w:rsid w:val="004632E3"/>
    <w:rsid w:val="0048322A"/>
    <w:rsid w:val="00491B9A"/>
    <w:rsid w:val="004B72C0"/>
    <w:rsid w:val="004C55AC"/>
    <w:rsid w:val="004D41C5"/>
    <w:rsid w:val="004E4BDD"/>
    <w:rsid w:val="004F12D6"/>
    <w:rsid w:val="005051BD"/>
    <w:rsid w:val="00536B19"/>
    <w:rsid w:val="0054163D"/>
    <w:rsid w:val="005470CF"/>
    <w:rsid w:val="0056186D"/>
    <w:rsid w:val="005634D7"/>
    <w:rsid w:val="0056530D"/>
    <w:rsid w:val="00573740"/>
    <w:rsid w:val="00595882"/>
    <w:rsid w:val="005A2606"/>
    <w:rsid w:val="005D0387"/>
    <w:rsid w:val="005E4105"/>
    <w:rsid w:val="005E4B44"/>
    <w:rsid w:val="005F1945"/>
    <w:rsid w:val="0060615F"/>
    <w:rsid w:val="00610625"/>
    <w:rsid w:val="0061787C"/>
    <w:rsid w:val="006338B6"/>
    <w:rsid w:val="00641DFB"/>
    <w:rsid w:val="00647B79"/>
    <w:rsid w:val="00691BE3"/>
    <w:rsid w:val="006A008D"/>
    <w:rsid w:val="006B16C8"/>
    <w:rsid w:val="006C19B6"/>
    <w:rsid w:val="006F220F"/>
    <w:rsid w:val="006F328D"/>
    <w:rsid w:val="006F3D80"/>
    <w:rsid w:val="00736560"/>
    <w:rsid w:val="00740D0E"/>
    <w:rsid w:val="00742251"/>
    <w:rsid w:val="00757F95"/>
    <w:rsid w:val="007605FA"/>
    <w:rsid w:val="007B0A42"/>
    <w:rsid w:val="007B152D"/>
    <w:rsid w:val="007D3A47"/>
    <w:rsid w:val="007E16B8"/>
    <w:rsid w:val="007E72F8"/>
    <w:rsid w:val="007F1957"/>
    <w:rsid w:val="008155DC"/>
    <w:rsid w:val="008214E7"/>
    <w:rsid w:val="0083242D"/>
    <w:rsid w:val="008327B1"/>
    <w:rsid w:val="00876591"/>
    <w:rsid w:val="008965C8"/>
    <w:rsid w:val="008A1071"/>
    <w:rsid w:val="008A10BA"/>
    <w:rsid w:val="008B7675"/>
    <w:rsid w:val="008C5BF6"/>
    <w:rsid w:val="008D2238"/>
    <w:rsid w:val="008D555A"/>
    <w:rsid w:val="008F0064"/>
    <w:rsid w:val="008F2FE4"/>
    <w:rsid w:val="008F6ACA"/>
    <w:rsid w:val="00901B07"/>
    <w:rsid w:val="0090707C"/>
    <w:rsid w:val="00933450"/>
    <w:rsid w:val="00962FA2"/>
    <w:rsid w:val="009879F9"/>
    <w:rsid w:val="009A0CC5"/>
    <w:rsid w:val="009B1203"/>
    <w:rsid w:val="009C2AB7"/>
    <w:rsid w:val="009C5FD6"/>
    <w:rsid w:val="009C7927"/>
    <w:rsid w:val="009E615A"/>
    <w:rsid w:val="00A11A2E"/>
    <w:rsid w:val="00A34754"/>
    <w:rsid w:val="00A36DB3"/>
    <w:rsid w:val="00A41893"/>
    <w:rsid w:val="00A46382"/>
    <w:rsid w:val="00A52333"/>
    <w:rsid w:val="00A57697"/>
    <w:rsid w:val="00A73E48"/>
    <w:rsid w:val="00A94DCC"/>
    <w:rsid w:val="00AE0F5A"/>
    <w:rsid w:val="00B03982"/>
    <w:rsid w:val="00B06C12"/>
    <w:rsid w:val="00B41A42"/>
    <w:rsid w:val="00B435A0"/>
    <w:rsid w:val="00B5370E"/>
    <w:rsid w:val="00B72D30"/>
    <w:rsid w:val="00B75CC2"/>
    <w:rsid w:val="00BA0E98"/>
    <w:rsid w:val="00BB2657"/>
    <w:rsid w:val="00BC52AB"/>
    <w:rsid w:val="00C123AF"/>
    <w:rsid w:val="00C30EDC"/>
    <w:rsid w:val="00C433BC"/>
    <w:rsid w:val="00C50375"/>
    <w:rsid w:val="00C57F43"/>
    <w:rsid w:val="00C77873"/>
    <w:rsid w:val="00C82BDB"/>
    <w:rsid w:val="00C97FCD"/>
    <w:rsid w:val="00CA2D8F"/>
    <w:rsid w:val="00D14FC3"/>
    <w:rsid w:val="00D2134C"/>
    <w:rsid w:val="00D222EB"/>
    <w:rsid w:val="00D24B12"/>
    <w:rsid w:val="00D4362B"/>
    <w:rsid w:val="00D62BBD"/>
    <w:rsid w:val="00DC3A75"/>
    <w:rsid w:val="00DC55E0"/>
    <w:rsid w:val="00DD0957"/>
    <w:rsid w:val="00DD304B"/>
    <w:rsid w:val="00DE7343"/>
    <w:rsid w:val="00DF326C"/>
    <w:rsid w:val="00E0124F"/>
    <w:rsid w:val="00E229CB"/>
    <w:rsid w:val="00E3082A"/>
    <w:rsid w:val="00E31A6E"/>
    <w:rsid w:val="00E41D9C"/>
    <w:rsid w:val="00E43B50"/>
    <w:rsid w:val="00E74674"/>
    <w:rsid w:val="00E84E3A"/>
    <w:rsid w:val="00E86523"/>
    <w:rsid w:val="00E95863"/>
    <w:rsid w:val="00EA2828"/>
    <w:rsid w:val="00ED4F08"/>
    <w:rsid w:val="00F039B4"/>
    <w:rsid w:val="00F1396F"/>
    <w:rsid w:val="00F149AE"/>
    <w:rsid w:val="00F51BEE"/>
    <w:rsid w:val="00F74E32"/>
    <w:rsid w:val="00F765AC"/>
    <w:rsid w:val="00F87C38"/>
    <w:rsid w:val="00F9466D"/>
    <w:rsid w:val="00FA44B3"/>
    <w:rsid w:val="00FB7858"/>
    <w:rsid w:val="00FC212D"/>
    <w:rsid w:val="00FC5E14"/>
    <w:rsid w:val="00FD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52FC38-1225-4B8F-9A1F-887420FE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6F3D80"/>
    <w:pPr>
      <w:keepNext/>
      <w:numPr>
        <w:numId w:val="22"/>
      </w:numPr>
      <w:spacing w:before="120" w:after="120"/>
      <w:ind w:left="426" w:hanging="426"/>
      <w:outlineLvl w:val="0"/>
    </w:pPr>
    <w:rPr>
      <w:rFonts w:ascii="Arial Bold" w:hAnsi="Arial Bold"/>
      <w:kern w:val="28"/>
      <w:sz w:val="26"/>
      <w:szCs w:val="26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5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3D80"/>
    <w:rPr>
      <w:rFonts w:ascii="Arial Bold" w:eastAsia="Times New Roman" w:hAnsi="Arial Bold" w:cs="Times New Roman"/>
      <w:snapToGrid w:val="0"/>
      <w:kern w:val="28"/>
      <w:sz w:val="26"/>
      <w:szCs w:val="26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B152D"/>
    <w:pPr>
      <w:tabs>
        <w:tab w:val="left" w:pos="440"/>
        <w:tab w:val="right" w:leader="dot" w:pos="9016"/>
      </w:tabs>
      <w:spacing w:before="360"/>
      <w:ind w:left="442" w:hanging="442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itle">
    <w:name w:val="Title"/>
    <w:basedOn w:val="Normal"/>
    <w:next w:val="Subtitle"/>
    <w:link w:val="TitleChar"/>
    <w:qFormat/>
    <w:rsid w:val="006F3D80"/>
    <w:pPr>
      <w:widowControl/>
      <w:suppressAutoHyphens/>
      <w:spacing w:before="240" w:after="60"/>
      <w:jc w:val="center"/>
    </w:pPr>
    <w:rPr>
      <w:rFonts w:ascii="Arial" w:hAnsi="Arial" w:cs="Arial"/>
      <w:b/>
      <w:bCs/>
      <w:snapToGrid/>
      <w:kern w:val="1"/>
      <w:sz w:val="32"/>
      <w:szCs w:val="32"/>
      <w:lang w:val="de-DE" w:eastAsia="ar-SA"/>
    </w:rPr>
  </w:style>
  <w:style w:type="character" w:customStyle="1" w:styleId="TitleChar">
    <w:name w:val="Title Char"/>
    <w:basedOn w:val="DefaultParagraphFont"/>
    <w:link w:val="Title"/>
    <w:rsid w:val="006F3D80"/>
    <w:rPr>
      <w:rFonts w:ascii="Arial" w:eastAsia="Times New Roman" w:hAnsi="Arial" w:cs="Arial"/>
      <w:b/>
      <w:bCs/>
      <w:kern w:val="1"/>
      <w:sz w:val="32"/>
      <w:szCs w:val="32"/>
      <w:lang w:val="de-DE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D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F3D80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52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ala-ais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act@iala-aism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CC68F-B5AA-404E-A9A3-6BF7F470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3</cp:revision>
  <cp:lastPrinted>2014-10-10T12:38:00Z</cp:lastPrinted>
  <dcterms:created xsi:type="dcterms:W3CDTF">2014-11-22T18:01:00Z</dcterms:created>
  <dcterms:modified xsi:type="dcterms:W3CDTF">2015-02-24T11:29:00Z</dcterms:modified>
</cp:coreProperties>
</file>